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101"/>
        <w:tblW w:w="4919" w:type="pct"/>
        <w:tblCellSpacing w:w="0" w:type="dxa"/>
        <w:tblBorders>
          <w:top w:val="outset" w:sz="6" w:space="0" w:color="auto"/>
          <w:left w:val="outset" w:sz="6" w:space="0" w:color="auto"/>
          <w:bottom w:val="outset" w:sz="6" w:space="0" w:color="auto"/>
          <w:right w:val="outset" w:sz="6" w:space="0" w:color="auto"/>
        </w:tblBorders>
        <w:tblCellMar>
          <w:left w:w="70" w:type="dxa"/>
          <w:right w:w="70" w:type="dxa"/>
        </w:tblCellMar>
        <w:tblLook w:val="04A0" w:firstRow="1" w:lastRow="0" w:firstColumn="1" w:lastColumn="0" w:noHBand="0" w:noVBand="1"/>
      </w:tblPr>
      <w:tblGrid>
        <w:gridCol w:w="2210"/>
        <w:gridCol w:w="3471"/>
        <w:gridCol w:w="2669"/>
      </w:tblGrid>
      <w:tr w:rsidR="002E4311" w:rsidRPr="00F432E6" w:rsidTr="002E4311">
        <w:trPr>
          <w:tblCellSpacing w:w="0" w:type="dxa"/>
        </w:trPr>
        <w:tc>
          <w:tcPr>
            <w:tcW w:w="2210" w:type="dxa"/>
            <w:vMerge w:val="restart"/>
            <w:tcBorders>
              <w:top w:val="outset" w:sz="6" w:space="0" w:color="auto"/>
              <w:left w:val="outset" w:sz="6" w:space="0" w:color="auto"/>
              <w:bottom w:val="outset" w:sz="6" w:space="0" w:color="auto"/>
              <w:right w:val="outset" w:sz="6" w:space="0" w:color="auto"/>
            </w:tcBorders>
            <w:vAlign w:val="center"/>
            <w:hideMark/>
          </w:tcPr>
          <w:p w:rsidR="002E4311" w:rsidRPr="00F432E6" w:rsidRDefault="002E4311" w:rsidP="002E4311">
            <w:pPr>
              <w:spacing w:after="0" w:line="240" w:lineRule="auto"/>
              <w:jc w:val="center"/>
              <w:rPr>
                <w:rFonts w:ascii="Times New Roman" w:eastAsia="Times New Roman" w:hAnsi="Times New Roman"/>
                <w:sz w:val="24"/>
                <w:szCs w:val="24"/>
                <w:lang w:eastAsia="es-ES"/>
              </w:rPr>
            </w:pPr>
            <w:r>
              <w:rPr>
                <w:noProof/>
                <w:lang w:eastAsia="es-ES"/>
              </w:rPr>
              <w:drawing>
                <wp:inline distT="0" distB="0" distL="0" distR="0" wp14:anchorId="43BBC621" wp14:editId="15ACAF57">
                  <wp:extent cx="1295400" cy="863311"/>
                  <wp:effectExtent l="0" t="0" r="0" b="0"/>
                  <wp:docPr id="2060" name="Imagen 2" descr="C:\Users\andresrp30\Desktop\Logotipo EAFIT azu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Imagen 2" descr="C:\Users\andresrp30\Desktop\Logotipo EAFIT azul en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86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819" w:type="dxa"/>
            <w:vMerge w:val="restart"/>
            <w:tcBorders>
              <w:top w:val="outset" w:sz="6" w:space="0" w:color="auto"/>
              <w:left w:val="outset" w:sz="6" w:space="0" w:color="auto"/>
              <w:bottom w:val="outset" w:sz="6" w:space="0" w:color="auto"/>
              <w:right w:val="outset" w:sz="6" w:space="0" w:color="auto"/>
            </w:tcBorders>
            <w:vAlign w:val="center"/>
            <w:hideMark/>
          </w:tcPr>
          <w:p w:rsidR="002E4311" w:rsidRPr="00723993" w:rsidRDefault="002E4311" w:rsidP="002E4311">
            <w:pPr>
              <w:spacing w:after="0" w:line="240" w:lineRule="auto"/>
              <w:jc w:val="center"/>
              <w:rPr>
                <w:rFonts w:eastAsia="Times New Roman"/>
                <w:b/>
                <w:bCs/>
                <w:szCs w:val="24"/>
                <w:lang w:eastAsia="es-ES"/>
              </w:rPr>
            </w:pPr>
            <w:r w:rsidRPr="00723993">
              <w:rPr>
                <w:rFonts w:eastAsia="Times New Roman"/>
                <w:b/>
                <w:bCs/>
                <w:szCs w:val="24"/>
                <w:lang w:eastAsia="es-ES"/>
              </w:rPr>
              <w:t>DOCUMENTO GERENCIAL</w:t>
            </w:r>
          </w:p>
        </w:tc>
        <w:tc>
          <w:tcPr>
            <w:tcW w:w="2321" w:type="dxa"/>
            <w:tcBorders>
              <w:top w:val="outset" w:sz="6" w:space="0" w:color="auto"/>
              <w:left w:val="outset" w:sz="6" w:space="0" w:color="auto"/>
              <w:bottom w:val="outset" w:sz="6" w:space="0" w:color="auto"/>
              <w:right w:val="outset" w:sz="6" w:space="0" w:color="auto"/>
            </w:tcBorders>
            <w:vAlign w:val="center"/>
            <w:hideMark/>
          </w:tcPr>
          <w:p w:rsidR="002E4311" w:rsidRPr="00723993" w:rsidRDefault="002E4311" w:rsidP="002E4311">
            <w:pPr>
              <w:spacing w:after="0" w:line="240" w:lineRule="auto"/>
              <w:rPr>
                <w:rFonts w:eastAsia="Times New Roman"/>
                <w:b/>
                <w:bCs/>
                <w:sz w:val="20"/>
                <w:szCs w:val="15"/>
                <w:lang w:eastAsia="es-ES"/>
              </w:rPr>
            </w:pPr>
            <w:r>
              <w:rPr>
                <w:rFonts w:eastAsia="Times New Roman"/>
                <w:b/>
                <w:bCs/>
                <w:sz w:val="20"/>
                <w:szCs w:val="15"/>
                <w:lang w:eastAsia="es-ES"/>
              </w:rPr>
              <w:t>  VERSIÓN: 2</w:t>
            </w:r>
          </w:p>
        </w:tc>
      </w:tr>
      <w:tr w:rsidR="002E4311" w:rsidRPr="00F432E6" w:rsidTr="002E4311">
        <w:tblPrEx>
          <w:tblCellMar>
            <w:left w:w="0" w:type="dxa"/>
            <w:right w:w="0" w:type="dxa"/>
          </w:tblCellMar>
        </w:tblPrEx>
        <w:trPr>
          <w:trHeight w:val="83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311" w:rsidRPr="00F432E6" w:rsidRDefault="002E4311" w:rsidP="002E4311">
            <w:pPr>
              <w:spacing w:after="0" w:line="240" w:lineRule="auto"/>
              <w:rPr>
                <w:rFonts w:ascii="Times New Roman" w:eastAsia="Times New Roman" w:hAnsi="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4311" w:rsidRPr="00723993" w:rsidRDefault="002E4311" w:rsidP="002E4311">
            <w:pPr>
              <w:spacing w:after="0" w:line="240" w:lineRule="auto"/>
              <w:rPr>
                <w:rFonts w:eastAsia="Times New Roman"/>
                <w:b/>
                <w:bCs/>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4311" w:rsidRPr="002E4311" w:rsidRDefault="002E4311" w:rsidP="002E4311">
            <w:pPr>
              <w:pStyle w:val="Default"/>
              <w:rPr>
                <w:rFonts w:ascii="Verdana" w:hAnsi="Verdana" w:cs="Verdana"/>
              </w:rPr>
            </w:pPr>
            <w:r>
              <w:rPr>
                <w:rFonts w:eastAsia="Times New Roman"/>
                <w:b/>
                <w:bCs/>
                <w:sz w:val="20"/>
                <w:szCs w:val="15"/>
                <w:lang w:eastAsia="es-ES"/>
              </w:rPr>
              <w:t>  </w:t>
            </w:r>
          </w:p>
          <w:tbl>
            <w:tblPr>
              <w:tblW w:w="0" w:type="auto"/>
              <w:tblBorders>
                <w:top w:val="nil"/>
                <w:left w:val="nil"/>
                <w:bottom w:val="nil"/>
                <w:right w:val="nil"/>
              </w:tblBorders>
              <w:tblLook w:val="0000" w:firstRow="0" w:lastRow="0" w:firstColumn="0" w:lastColumn="0" w:noHBand="0" w:noVBand="0"/>
            </w:tblPr>
            <w:tblGrid>
              <w:gridCol w:w="2639"/>
            </w:tblGrid>
            <w:tr w:rsidR="002E4311" w:rsidRPr="002E4311">
              <w:tblPrEx>
                <w:tblCellMar>
                  <w:top w:w="0" w:type="dxa"/>
                  <w:bottom w:w="0" w:type="dxa"/>
                </w:tblCellMar>
              </w:tblPrEx>
              <w:trPr>
                <w:trHeight w:val="177"/>
              </w:trPr>
              <w:tc>
                <w:tcPr>
                  <w:tcW w:w="0" w:type="auto"/>
                </w:tcPr>
                <w:p w:rsidR="002E4311" w:rsidRPr="002E4311" w:rsidRDefault="002E4311" w:rsidP="002E4311">
                  <w:pPr>
                    <w:framePr w:hSpace="141" w:wrap="around" w:vAnchor="page" w:hAnchor="margin" w:y="1101"/>
                    <w:spacing w:after="0" w:line="240" w:lineRule="auto"/>
                    <w:jc w:val="center"/>
                    <w:rPr>
                      <w:rFonts w:eastAsia="Times New Roman"/>
                      <w:b/>
                      <w:bCs/>
                      <w:szCs w:val="24"/>
                      <w:lang w:eastAsia="es-ES"/>
                    </w:rPr>
                  </w:pPr>
                  <w:r w:rsidRPr="002E4311">
                    <w:rPr>
                      <w:rFonts w:eastAsia="Times New Roman"/>
                      <w:b/>
                      <w:bCs/>
                      <w:szCs w:val="24"/>
                      <w:lang w:eastAsia="es-ES"/>
                    </w:rPr>
                    <w:t xml:space="preserve"> CODIGO: DG-BU-GPAA-02-02 </w:t>
                  </w:r>
                </w:p>
              </w:tc>
            </w:tr>
          </w:tbl>
          <w:p w:rsidR="002E4311" w:rsidRPr="00723993" w:rsidRDefault="002E4311" w:rsidP="002E4311">
            <w:pPr>
              <w:spacing w:after="0" w:line="240" w:lineRule="auto"/>
              <w:rPr>
                <w:rFonts w:eastAsia="Times New Roman"/>
                <w:b/>
                <w:bCs/>
                <w:sz w:val="20"/>
                <w:szCs w:val="15"/>
                <w:lang w:eastAsia="es-ES"/>
              </w:rPr>
            </w:pPr>
          </w:p>
        </w:tc>
      </w:tr>
      <w:tr w:rsidR="002E4311" w:rsidRPr="00F432E6" w:rsidTr="002E4311">
        <w:tblPrEx>
          <w:tblCellMar>
            <w:left w:w="0" w:type="dxa"/>
            <w:right w:w="0" w:type="dxa"/>
          </w:tblCellMar>
        </w:tblPrEx>
        <w:trPr>
          <w:trHeight w:val="51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311" w:rsidRPr="002E4311" w:rsidRDefault="002E4311" w:rsidP="002E4311">
            <w:pPr>
              <w:autoSpaceDE w:val="0"/>
              <w:autoSpaceDN w:val="0"/>
              <w:adjustRightInd w:val="0"/>
              <w:spacing w:after="0" w:line="240" w:lineRule="auto"/>
              <w:rPr>
                <w:rFonts w:ascii="Verdana" w:hAnsi="Verdana" w:cs="Verdan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320"/>
            </w:tblGrid>
            <w:tr w:rsidR="002E4311" w:rsidRPr="002E4311">
              <w:tblPrEx>
                <w:tblCellMar>
                  <w:top w:w="0" w:type="dxa"/>
                  <w:bottom w:w="0" w:type="dxa"/>
                </w:tblCellMar>
              </w:tblPrEx>
              <w:trPr>
                <w:trHeight w:val="73"/>
              </w:trPr>
              <w:tc>
                <w:tcPr>
                  <w:tcW w:w="0" w:type="auto"/>
                </w:tcPr>
                <w:p w:rsidR="002E4311" w:rsidRPr="002E4311" w:rsidRDefault="002E4311" w:rsidP="002E4311">
                  <w:pPr>
                    <w:framePr w:hSpace="141" w:wrap="around" w:vAnchor="page" w:hAnchor="margin" w:y="1101"/>
                    <w:spacing w:after="0" w:line="240" w:lineRule="auto"/>
                    <w:jc w:val="center"/>
                    <w:rPr>
                      <w:rFonts w:ascii="Verdana" w:hAnsi="Verdana" w:cs="Verdana"/>
                      <w:color w:val="000000"/>
                      <w:sz w:val="15"/>
                      <w:szCs w:val="15"/>
                    </w:rPr>
                  </w:pPr>
                  <w:r w:rsidRPr="002E4311">
                    <w:rPr>
                      <w:rFonts w:eastAsia="Times New Roman"/>
                      <w:b/>
                      <w:bCs/>
                      <w:szCs w:val="24"/>
                      <w:lang w:eastAsia="es-ES"/>
                    </w:rPr>
                    <w:t xml:space="preserve"> BU-POLÍTICAS PARA LAS MUESTRAS DE EXPRESIÓN ARTÍSTICA DE EAFITENSES AFICIONADOS</w:t>
                  </w:r>
                  <w:r w:rsidRPr="002E4311">
                    <w:rPr>
                      <w:rFonts w:ascii="Verdana" w:hAnsi="Verdana" w:cs="Verdana"/>
                      <w:b/>
                      <w:bCs/>
                      <w:color w:val="000000"/>
                      <w:sz w:val="15"/>
                      <w:szCs w:val="15"/>
                    </w:rPr>
                    <w:t xml:space="preserve"> </w:t>
                  </w:r>
                </w:p>
              </w:tc>
            </w:tr>
          </w:tbl>
          <w:p w:rsidR="002E4311" w:rsidRPr="00723993" w:rsidRDefault="002E4311" w:rsidP="002E4311">
            <w:pPr>
              <w:spacing w:after="0" w:line="240" w:lineRule="auto"/>
              <w:rPr>
                <w:rFonts w:eastAsia="Times New Roman"/>
                <w:b/>
                <w:bCs/>
                <w:szCs w:val="15"/>
                <w:lang w:eastAsia="es-ES"/>
              </w:rPr>
            </w:pPr>
            <w:r w:rsidRPr="00723993">
              <w:rPr>
                <w:rFonts w:eastAsia="Times New Roman"/>
                <w:b/>
                <w:bCs/>
                <w:szCs w:val="15"/>
                <w:lang w:eastAsia="es-ES"/>
              </w:rPr>
              <w:t>  </w:t>
            </w:r>
          </w:p>
        </w:tc>
      </w:tr>
    </w:tbl>
    <w:p w:rsidR="002E4311" w:rsidRDefault="002E4311" w:rsidP="002E4311">
      <w:pPr>
        <w:pStyle w:val="Default"/>
        <w:jc w:val="both"/>
      </w:pPr>
    </w:p>
    <w:p w:rsidR="006F657B" w:rsidRDefault="00C21E8C" w:rsidP="00C21E8C">
      <w:pPr>
        <w:jc w:val="both"/>
        <w:rPr>
          <w:sz w:val="23"/>
          <w:szCs w:val="23"/>
        </w:rPr>
      </w:pPr>
      <w:r>
        <w:rPr>
          <w:sz w:val="23"/>
          <w:szCs w:val="23"/>
        </w:rPr>
        <w:t>El Departamento de Desarrollo Artístico ofrece a la comunidad universitaria (estudiantes de pre y posgrado, docentes, empleados, egresados y jubilados) cuyas habilidades lo destacan como un aficionado en el campo de las artes plásticas y aplicadas, la oportunidad de mostrar sus trabajos en diversas manifestaciones (pintura, dibujo, fotografía, collage, entre otros), como un servicio que se enmarca dentro de los objetivos estratégicos de la Dirección de Desarrollo Humano - Bienestar Universitario: “Contribuir al mejoramiento de la calidad de vida de la comunidad universitaria, mediante programas y servicios que tengan en cuenta sus necesidades y preferencias”.</w:t>
      </w:r>
    </w:p>
    <w:p w:rsidR="00C21E8C" w:rsidRDefault="00C21E8C" w:rsidP="00C21E8C">
      <w:pPr>
        <w:pStyle w:val="Default"/>
        <w:jc w:val="both"/>
      </w:pPr>
    </w:p>
    <w:p w:rsidR="00C21E8C" w:rsidRDefault="00C21E8C" w:rsidP="00C21E8C">
      <w:pPr>
        <w:pStyle w:val="Default"/>
        <w:jc w:val="both"/>
        <w:rPr>
          <w:sz w:val="23"/>
          <w:szCs w:val="23"/>
        </w:rPr>
      </w:pPr>
      <w:bookmarkStart w:id="0" w:name="_GoBack"/>
      <w:bookmarkEnd w:id="0"/>
      <w:r>
        <w:rPr>
          <w:sz w:val="23"/>
          <w:szCs w:val="23"/>
        </w:rPr>
        <w:t xml:space="preserve">En el bloque 12 el </w:t>
      </w:r>
      <w:proofErr w:type="spellStart"/>
      <w:r>
        <w:rPr>
          <w:sz w:val="23"/>
          <w:szCs w:val="23"/>
        </w:rPr>
        <w:t>eafitense</w:t>
      </w:r>
      <w:proofErr w:type="spellEnd"/>
      <w:r>
        <w:rPr>
          <w:sz w:val="23"/>
          <w:szCs w:val="23"/>
        </w:rPr>
        <w:t xml:space="preserve"> encontrará un espacio pensado para exhibir sus trabajos durante varias semanas, de tal forma que pueda poner a consideración de la comunidad universitaria, de su familia y amigos el ejercicio artístico que, como aficionado no profesional de las artes, realiza a manera de actividad extracurricular o como aprovechamiento y buen uso de su tiempo libre. </w:t>
      </w:r>
    </w:p>
    <w:p w:rsidR="00C21E8C" w:rsidRDefault="00C21E8C" w:rsidP="00C21E8C">
      <w:pPr>
        <w:pStyle w:val="Default"/>
        <w:jc w:val="both"/>
        <w:rPr>
          <w:b/>
          <w:bCs/>
          <w:sz w:val="23"/>
          <w:szCs w:val="23"/>
        </w:rPr>
      </w:pPr>
    </w:p>
    <w:p w:rsidR="00C21E8C" w:rsidRPr="00C21E8C" w:rsidRDefault="00C21E8C" w:rsidP="00C21E8C">
      <w:pPr>
        <w:pStyle w:val="Default"/>
        <w:jc w:val="both"/>
        <w:rPr>
          <w:rFonts w:ascii="Symbol" w:hAnsi="Symbol" w:cs="Symbol"/>
        </w:rPr>
      </w:pPr>
      <w:r>
        <w:rPr>
          <w:b/>
          <w:bCs/>
          <w:sz w:val="23"/>
          <w:szCs w:val="23"/>
        </w:rPr>
        <w:t xml:space="preserve">Políticas para las Muestras de expresión artística de </w:t>
      </w:r>
      <w:proofErr w:type="spellStart"/>
      <w:r>
        <w:rPr>
          <w:b/>
          <w:bCs/>
          <w:sz w:val="23"/>
          <w:szCs w:val="23"/>
        </w:rPr>
        <w:t>eafitenses</w:t>
      </w:r>
      <w:proofErr w:type="spellEnd"/>
      <w:r>
        <w:rPr>
          <w:b/>
          <w:bCs/>
          <w:sz w:val="23"/>
          <w:szCs w:val="23"/>
        </w:rPr>
        <w:t xml:space="preserve"> aficionados </w:t>
      </w:r>
    </w:p>
    <w:p w:rsidR="00C21E8C" w:rsidRPr="00C21E8C" w:rsidRDefault="00C21E8C" w:rsidP="00C21E8C">
      <w:pPr>
        <w:autoSpaceDE w:val="0"/>
        <w:autoSpaceDN w:val="0"/>
        <w:adjustRightInd w:val="0"/>
        <w:spacing w:after="0" w:line="240" w:lineRule="auto"/>
        <w:jc w:val="both"/>
        <w:rPr>
          <w:rFonts w:ascii="Symbol" w:hAnsi="Symbol" w:cs="Symbol"/>
          <w:color w:val="000000"/>
          <w:sz w:val="24"/>
          <w:szCs w:val="24"/>
        </w:rPr>
      </w:pPr>
      <w:r w:rsidRPr="00C21E8C">
        <w:rPr>
          <w:rFonts w:ascii="Symbol" w:hAnsi="Symbol" w:cs="Symbol"/>
          <w:color w:val="000000"/>
          <w:sz w:val="24"/>
          <w:szCs w:val="24"/>
        </w:rPr>
        <w:t></w:t>
      </w:r>
    </w:p>
    <w:p w:rsidR="00C21E8C" w:rsidRPr="00C21E8C" w:rsidRDefault="00C21E8C" w:rsidP="00C21E8C">
      <w:pPr>
        <w:pStyle w:val="Prrafodelista"/>
        <w:numPr>
          <w:ilvl w:val="0"/>
          <w:numId w:val="1"/>
        </w:numPr>
        <w:autoSpaceDE w:val="0"/>
        <w:autoSpaceDN w:val="0"/>
        <w:adjustRightInd w:val="0"/>
        <w:spacing w:after="34" w:line="240" w:lineRule="auto"/>
        <w:jc w:val="both"/>
        <w:rPr>
          <w:rFonts w:ascii="Calibri" w:hAnsi="Calibri" w:cs="Calibri"/>
          <w:color w:val="000000"/>
          <w:sz w:val="23"/>
          <w:szCs w:val="23"/>
        </w:rPr>
      </w:pPr>
      <w:r w:rsidRPr="00C21E8C">
        <w:rPr>
          <w:rFonts w:ascii="Calibri" w:hAnsi="Calibri" w:cs="Calibri"/>
          <w:color w:val="000000"/>
          <w:sz w:val="23"/>
          <w:szCs w:val="23"/>
        </w:rPr>
        <w:t xml:space="preserve">Las Muestras de expresión artística son unos espacios destinados exclusivamente para trabajos de corte artístico aficionado de estudiantes de pre y posgrado, empleados administrativos, docentes, egresados de pre y posgrado y jubilados de la Universidad EAFIT. </w:t>
      </w:r>
    </w:p>
    <w:p w:rsidR="00C21E8C" w:rsidRPr="00C21E8C" w:rsidRDefault="00C21E8C" w:rsidP="00C21E8C">
      <w:pPr>
        <w:pStyle w:val="Prrafodelista"/>
        <w:numPr>
          <w:ilvl w:val="0"/>
          <w:numId w:val="1"/>
        </w:numPr>
        <w:autoSpaceDE w:val="0"/>
        <w:autoSpaceDN w:val="0"/>
        <w:adjustRightInd w:val="0"/>
        <w:spacing w:after="34" w:line="240" w:lineRule="auto"/>
        <w:jc w:val="both"/>
        <w:rPr>
          <w:rFonts w:ascii="Calibri" w:hAnsi="Calibri" w:cs="Calibri"/>
          <w:color w:val="000000"/>
          <w:sz w:val="23"/>
          <w:szCs w:val="23"/>
        </w:rPr>
      </w:pPr>
      <w:r w:rsidRPr="00C21E8C">
        <w:rPr>
          <w:rFonts w:ascii="Calibri" w:hAnsi="Calibri" w:cs="Calibri"/>
          <w:color w:val="000000"/>
          <w:sz w:val="23"/>
          <w:szCs w:val="23"/>
        </w:rPr>
        <w:t xml:space="preserve">Los trabajos pueden ser presentados en formato suelto como pintura, dibujo, grabado, fotografía, etc., o enmarcados por el autor. En el caso de formato suelto, Desarrollo Artístico cuenta con 20 marcos temporales en formatos estándar de 30 x 50 cm. y 70 x 50 cm. </w:t>
      </w:r>
    </w:p>
    <w:p w:rsidR="00C21E8C" w:rsidRPr="00C21E8C" w:rsidRDefault="00C21E8C" w:rsidP="00C21E8C">
      <w:pPr>
        <w:pStyle w:val="Prrafodelista"/>
        <w:numPr>
          <w:ilvl w:val="0"/>
          <w:numId w:val="1"/>
        </w:numPr>
        <w:autoSpaceDE w:val="0"/>
        <w:autoSpaceDN w:val="0"/>
        <w:adjustRightInd w:val="0"/>
        <w:spacing w:after="34" w:line="240" w:lineRule="auto"/>
        <w:jc w:val="both"/>
        <w:rPr>
          <w:rFonts w:ascii="Calibri" w:hAnsi="Calibri" w:cs="Calibri"/>
          <w:color w:val="000000"/>
          <w:sz w:val="23"/>
          <w:szCs w:val="23"/>
        </w:rPr>
      </w:pPr>
      <w:r w:rsidRPr="00C21E8C">
        <w:rPr>
          <w:rFonts w:ascii="Calibri" w:hAnsi="Calibri" w:cs="Calibri"/>
          <w:color w:val="000000"/>
          <w:sz w:val="23"/>
          <w:szCs w:val="23"/>
        </w:rPr>
        <w:t xml:space="preserve">De los trabajos presentados por los </w:t>
      </w:r>
      <w:proofErr w:type="spellStart"/>
      <w:r w:rsidRPr="00C21E8C">
        <w:rPr>
          <w:rFonts w:ascii="Calibri" w:hAnsi="Calibri" w:cs="Calibri"/>
          <w:color w:val="000000"/>
          <w:sz w:val="23"/>
          <w:szCs w:val="23"/>
        </w:rPr>
        <w:t>eafitenses</w:t>
      </w:r>
      <w:proofErr w:type="spellEnd"/>
      <w:r w:rsidRPr="00C21E8C">
        <w:rPr>
          <w:rFonts w:ascii="Calibri" w:hAnsi="Calibri" w:cs="Calibri"/>
          <w:color w:val="000000"/>
          <w:sz w:val="23"/>
          <w:szCs w:val="23"/>
        </w:rPr>
        <w:t xml:space="preserve"> se seleccionará cada mes un máximo de 20 a criterio de los organizadores del montaje en el Bloque 12. </w:t>
      </w:r>
    </w:p>
    <w:p w:rsidR="00C21E8C" w:rsidRPr="00C21E8C" w:rsidRDefault="00C21E8C" w:rsidP="00C21E8C">
      <w:pPr>
        <w:pStyle w:val="Prrafodelista"/>
        <w:numPr>
          <w:ilvl w:val="0"/>
          <w:numId w:val="1"/>
        </w:numPr>
        <w:autoSpaceDE w:val="0"/>
        <w:autoSpaceDN w:val="0"/>
        <w:adjustRightInd w:val="0"/>
        <w:spacing w:after="34" w:line="240" w:lineRule="auto"/>
        <w:jc w:val="both"/>
        <w:rPr>
          <w:rFonts w:ascii="Calibri" w:hAnsi="Calibri" w:cs="Calibri"/>
          <w:color w:val="000000"/>
          <w:sz w:val="23"/>
          <w:szCs w:val="23"/>
        </w:rPr>
      </w:pPr>
      <w:r w:rsidRPr="00C21E8C">
        <w:rPr>
          <w:rFonts w:ascii="Calibri" w:hAnsi="Calibri" w:cs="Calibri"/>
          <w:color w:val="000000"/>
          <w:sz w:val="23"/>
          <w:szCs w:val="23"/>
        </w:rPr>
        <w:t xml:space="preserve">En caso de incurrirse en costos de empaque, transporte y </w:t>
      </w:r>
      <w:proofErr w:type="spellStart"/>
      <w:r w:rsidRPr="00C21E8C">
        <w:rPr>
          <w:rFonts w:ascii="Calibri" w:hAnsi="Calibri" w:cs="Calibri"/>
          <w:color w:val="000000"/>
          <w:sz w:val="23"/>
          <w:szCs w:val="23"/>
        </w:rPr>
        <w:t>reempaque</w:t>
      </w:r>
      <w:proofErr w:type="spellEnd"/>
      <w:r w:rsidRPr="00C21E8C">
        <w:rPr>
          <w:rFonts w:ascii="Calibri" w:hAnsi="Calibri" w:cs="Calibri"/>
          <w:color w:val="000000"/>
          <w:sz w:val="23"/>
          <w:szCs w:val="23"/>
        </w:rPr>
        <w:t xml:space="preserve"> de los trabajos, esto correrá por cuenta del </w:t>
      </w:r>
      <w:proofErr w:type="spellStart"/>
      <w:r w:rsidRPr="00C21E8C">
        <w:rPr>
          <w:rFonts w:ascii="Calibri" w:hAnsi="Calibri" w:cs="Calibri"/>
          <w:color w:val="000000"/>
          <w:sz w:val="23"/>
          <w:szCs w:val="23"/>
        </w:rPr>
        <w:t>eafitense</w:t>
      </w:r>
      <w:proofErr w:type="spellEnd"/>
      <w:r w:rsidRPr="00C21E8C">
        <w:rPr>
          <w:rFonts w:ascii="Calibri" w:hAnsi="Calibri" w:cs="Calibri"/>
          <w:color w:val="000000"/>
          <w:sz w:val="23"/>
          <w:szCs w:val="23"/>
        </w:rPr>
        <w:t xml:space="preserve">. </w:t>
      </w:r>
    </w:p>
    <w:p w:rsidR="00C21E8C" w:rsidRPr="00C21E8C" w:rsidRDefault="00C21E8C" w:rsidP="00C21E8C">
      <w:pPr>
        <w:pStyle w:val="Prrafodelista"/>
        <w:numPr>
          <w:ilvl w:val="0"/>
          <w:numId w:val="1"/>
        </w:numPr>
        <w:autoSpaceDE w:val="0"/>
        <w:autoSpaceDN w:val="0"/>
        <w:adjustRightInd w:val="0"/>
        <w:spacing w:after="34" w:line="240" w:lineRule="auto"/>
        <w:jc w:val="both"/>
        <w:rPr>
          <w:rFonts w:ascii="Calibri" w:hAnsi="Calibri" w:cs="Calibri"/>
          <w:color w:val="000000"/>
          <w:sz w:val="23"/>
          <w:szCs w:val="23"/>
        </w:rPr>
      </w:pPr>
      <w:r w:rsidRPr="00C21E8C">
        <w:rPr>
          <w:rFonts w:ascii="Calibri" w:hAnsi="Calibri" w:cs="Calibri"/>
          <w:color w:val="000000"/>
          <w:sz w:val="23"/>
          <w:szCs w:val="23"/>
        </w:rPr>
        <w:t xml:space="preserve">La Universidad no asegurará los trabajos; en caso que el participante desee asegurar sus trabajos, este seguro correrá por su cuenta. </w:t>
      </w:r>
    </w:p>
    <w:p w:rsidR="00C21E8C" w:rsidRPr="00C21E8C" w:rsidRDefault="00C21E8C" w:rsidP="00C21E8C">
      <w:pPr>
        <w:pStyle w:val="Prrafodelista"/>
        <w:numPr>
          <w:ilvl w:val="0"/>
          <w:numId w:val="1"/>
        </w:numPr>
        <w:autoSpaceDE w:val="0"/>
        <w:autoSpaceDN w:val="0"/>
        <w:adjustRightInd w:val="0"/>
        <w:spacing w:after="34" w:line="240" w:lineRule="auto"/>
        <w:jc w:val="both"/>
        <w:rPr>
          <w:rFonts w:ascii="Calibri" w:hAnsi="Calibri" w:cs="Calibri"/>
          <w:color w:val="000000"/>
          <w:sz w:val="23"/>
          <w:szCs w:val="23"/>
        </w:rPr>
      </w:pPr>
      <w:r w:rsidRPr="00C21E8C">
        <w:rPr>
          <w:rFonts w:ascii="Calibri" w:hAnsi="Calibri" w:cs="Calibri"/>
          <w:color w:val="000000"/>
          <w:sz w:val="23"/>
          <w:szCs w:val="23"/>
        </w:rPr>
        <w:t xml:space="preserve">En caso de pérdida o daño de las obras se le notificará por escrito al </w:t>
      </w:r>
      <w:proofErr w:type="spellStart"/>
      <w:r w:rsidRPr="00C21E8C">
        <w:rPr>
          <w:rFonts w:ascii="Calibri" w:hAnsi="Calibri" w:cs="Calibri"/>
          <w:color w:val="000000"/>
          <w:sz w:val="23"/>
          <w:szCs w:val="23"/>
        </w:rPr>
        <w:t>eafitense</w:t>
      </w:r>
      <w:proofErr w:type="spellEnd"/>
      <w:r w:rsidRPr="00C21E8C">
        <w:rPr>
          <w:rFonts w:ascii="Calibri" w:hAnsi="Calibri" w:cs="Calibri"/>
          <w:color w:val="000000"/>
          <w:sz w:val="23"/>
          <w:szCs w:val="23"/>
        </w:rPr>
        <w:t xml:space="preserve">. </w:t>
      </w:r>
    </w:p>
    <w:p w:rsidR="00C21E8C" w:rsidRPr="00C21E8C" w:rsidRDefault="00C21E8C" w:rsidP="00A47D03">
      <w:pPr>
        <w:pStyle w:val="Prrafodelista"/>
        <w:pageBreakBefore/>
        <w:numPr>
          <w:ilvl w:val="0"/>
          <w:numId w:val="1"/>
        </w:numPr>
        <w:autoSpaceDE w:val="0"/>
        <w:autoSpaceDN w:val="0"/>
        <w:adjustRightInd w:val="0"/>
        <w:spacing w:after="0" w:line="240" w:lineRule="auto"/>
        <w:jc w:val="both"/>
        <w:rPr>
          <w:rFonts w:ascii="Calibri" w:hAnsi="Calibri" w:cs="Calibri"/>
          <w:color w:val="000000"/>
          <w:sz w:val="23"/>
          <w:szCs w:val="23"/>
        </w:rPr>
      </w:pPr>
      <w:r w:rsidRPr="00C21E8C">
        <w:rPr>
          <w:rFonts w:ascii="Calibri" w:hAnsi="Calibri" w:cs="Calibri"/>
          <w:color w:val="000000"/>
          <w:sz w:val="23"/>
          <w:szCs w:val="23"/>
        </w:rPr>
        <w:lastRenderedPageBreak/>
        <w:t xml:space="preserve">Las obras se mostrarán bajo techo en el interior del Departamento de Desarrollo Artístico, bloque 12, que cuenta con un adecuado sistema de seguridad y vigilancia. </w:t>
      </w:r>
    </w:p>
    <w:p w:rsidR="00C21E8C" w:rsidRPr="00C21E8C" w:rsidRDefault="00C21E8C" w:rsidP="00C21E8C">
      <w:pPr>
        <w:pStyle w:val="Prrafodelista"/>
        <w:numPr>
          <w:ilvl w:val="0"/>
          <w:numId w:val="1"/>
        </w:numPr>
        <w:autoSpaceDE w:val="0"/>
        <w:autoSpaceDN w:val="0"/>
        <w:adjustRightInd w:val="0"/>
        <w:spacing w:after="0" w:line="240" w:lineRule="auto"/>
        <w:jc w:val="both"/>
        <w:rPr>
          <w:rFonts w:ascii="Calibri" w:hAnsi="Calibri" w:cs="Calibri"/>
          <w:color w:val="000000"/>
          <w:sz w:val="23"/>
          <w:szCs w:val="23"/>
        </w:rPr>
      </w:pPr>
      <w:r w:rsidRPr="00C21E8C">
        <w:rPr>
          <w:rFonts w:ascii="Calibri" w:hAnsi="Calibri" w:cs="Calibri"/>
          <w:color w:val="000000"/>
          <w:sz w:val="23"/>
          <w:szCs w:val="23"/>
        </w:rPr>
        <w:t xml:space="preserve">El participante deberá firmar un documento con el cual deja constancia de que entiende y acepta las políticas de este servicio que brinda el Departamento de Desarrollo Artístico como un apoyo a la calidad de vida de la comunidad </w:t>
      </w:r>
      <w:proofErr w:type="spellStart"/>
      <w:r w:rsidRPr="00C21E8C">
        <w:rPr>
          <w:rFonts w:ascii="Calibri" w:hAnsi="Calibri" w:cs="Calibri"/>
          <w:color w:val="000000"/>
          <w:sz w:val="23"/>
          <w:szCs w:val="23"/>
        </w:rPr>
        <w:t>eafitense</w:t>
      </w:r>
      <w:proofErr w:type="spellEnd"/>
      <w:r w:rsidRPr="00C21E8C">
        <w:rPr>
          <w:rFonts w:ascii="Calibri" w:hAnsi="Calibri" w:cs="Calibri"/>
          <w:color w:val="000000"/>
          <w:sz w:val="23"/>
          <w:szCs w:val="23"/>
        </w:rPr>
        <w:t xml:space="preserve">. </w:t>
      </w:r>
    </w:p>
    <w:p w:rsidR="00C21E8C" w:rsidRDefault="00C21E8C" w:rsidP="00C21E8C">
      <w:pPr>
        <w:pStyle w:val="Default"/>
        <w:rPr>
          <w:sz w:val="23"/>
          <w:szCs w:val="23"/>
        </w:rPr>
      </w:pPr>
    </w:p>
    <w:p w:rsidR="00C21E8C" w:rsidRDefault="00C21E8C" w:rsidP="00C21E8C">
      <w:pPr>
        <w:pStyle w:val="Default"/>
        <w:rPr>
          <w:sz w:val="23"/>
          <w:szCs w:val="23"/>
        </w:rPr>
      </w:pPr>
    </w:p>
    <w:p w:rsidR="00C21E8C" w:rsidRDefault="00C21E8C" w:rsidP="00C21E8C"/>
    <w:sectPr w:rsidR="00C21E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75D98"/>
    <w:multiLevelType w:val="hybridMultilevel"/>
    <w:tmpl w:val="A4C8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8C"/>
    <w:rsid w:val="002743A8"/>
    <w:rsid w:val="002E4311"/>
    <w:rsid w:val="006F657B"/>
    <w:rsid w:val="00C21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A23D4-C422-49F6-A93F-03BE803B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1E8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21E8C"/>
    <w:pPr>
      <w:ind w:left="720"/>
      <w:contextualSpacing/>
    </w:pPr>
  </w:style>
  <w:style w:type="paragraph" w:styleId="Sinespaciado">
    <w:name w:val="No Spacing"/>
    <w:uiPriority w:val="1"/>
    <w:qFormat/>
    <w:rsid w:val="002E43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289F5D81F8C640BECA58FF74C182E7" ma:contentTypeVersion="1" ma:contentTypeDescription="Crear nuevo documento." ma:contentTypeScope="" ma:versionID="fdbac64a4d9f3564939dfce94ba9832f">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01610-C8AB-4385-BBBC-4B985C19422E}"/>
</file>

<file path=customXml/itemProps2.xml><?xml version="1.0" encoding="utf-8"?>
<ds:datastoreItem xmlns:ds="http://schemas.openxmlformats.org/officeDocument/2006/customXml" ds:itemID="{C027133B-FA0E-4D28-A12A-05F9F9544B81}"/>
</file>

<file path=customXml/itemProps3.xml><?xml version="1.0" encoding="utf-8"?>
<ds:datastoreItem xmlns:ds="http://schemas.openxmlformats.org/officeDocument/2006/customXml" ds:itemID="{5EEC45B9-2DFE-4BA7-B958-35E6FFEC747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Rubio Posada</dc:creator>
  <cp:keywords/>
  <dc:description/>
  <cp:lastModifiedBy>Andres Rubio Posada</cp:lastModifiedBy>
  <cp:revision>3</cp:revision>
  <dcterms:created xsi:type="dcterms:W3CDTF">2015-05-06T15:34:00Z</dcterms:created>
  <dcterms:modified xsi:type="dcterms:W3CDTF">2015-05-06T15:42:00Z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0x01010039289F5D81F8C640BECA58FF74C182E7</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